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12" w:rsidRPr="001E7212" w:rsidRDefault="001E7212" w:rsidP="001E7212">
      <w:pPr>
        <w:spacing w:after="0" w:line="240" w:lineRule="auto"/>
        <w:ind w:right="142"/>
        <w:jc w:val="lowKashida"/>
        <w:rPr>
          <w:rFonts w:ascii="Times New Roman" w:eastAsia="Times New Roman" w:hAnsi="Times New Roman" w:cs="Times New Roman" w:hint="cs"/>
          <w:sz w:val="24"/>
          <w:szCs w:val="24"/>
          <w:rtl/>
        </w:rPr>
      </w:pPr>
      <w:r w:rsidRPr="001E7212">
        <w:rPr>
          <w:rFonts w:ascii="Times New Roman" w:eastAsia="Times New Roman" w:hAnsi="Times New Roman" w:cs="Times New Roman"/>
          <w:sz w:val="24"/>
          <w:szCs w:val="24"/>
        </w:rPr>
        <w:t xml:space="preserve"> </w:t>
      </w:r>
      <w:r w:rsidRPr="001E7212">
        <w:rPr>
          <w:rFonts w:ascii="Times New Roman" w:eastAsia="Times New Roman" w:hAnsi="Times New Roman" w:cs="Times New Roman"/>
          <w:sz w:val="24"/>
          <w:szCs w:val="24"/>
          <w:rtl/>
        </w:rPr>
        <w:t>آيين نامه مربوط به شرايط و طرز استفاده از خانه‌هاي</w:t>
      </w:r>
      <w:bookmarkStart w:id="0" w:name="_GoBack"/>
      <w:bookmarkEnd w:id="0"/>
      <w:r w:rsidRPr="001E7212">
        <w:rPr>
          <w:rFonts w:ascii="Times New Roman" w:eastAsia="Times New Roman" w:hAnsi="Times New Roman" w:cs="Times New Roman"/>
          <w:sz w:val="24"/>
          <w:szCs w:val="24"/>
          <w:rtl/>
        </w:rPr>
        <w:t xml:space="preserve"> سازماني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8"/>
        <w:gridCol w:w="66"/>
        <w:gridCol w:w="66"/>
        <w:gridCol w:w="81"/>
      </w:tblGrid>
      <w:tr w:rsidR="001E7212" w:rsidRPr="001E7212" w:rsidTr="001E7212">
        <w:trPr>
          <w:gridAfter w:val="3"/>
          <w:tblCellSpacing w:w="15" w:type="dxa"/>
        </w:trPr>
        <w:tc>
          <w:tcPr>
            <w:tcW w:w="0" w:type="auto"/>
            <w:vAlign w:val="center"/>
            <w:hideMark/>
          </w:tcPr>
          <w:p w:rsidR="001E7212" w:rsidRPr="001E7212" w:rsidRDefault="001E7212" w:rsidP="001E7212">
            <w:pPr>
              <w:spacing w:after="0"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i/>
                <w:iCs/>
                <w:color w:val="210F6E"/>
                <w:sz w:val="20"/>
                <w:szCs w:val="20"/>
                <w:rtl/>
              </w:rPr>
              <w:t>این متن مربوط به وضعیت 3 مقرره و تا قبل از تاریخ 1358/11/20 می باشد</w:t>
            </w:r>
            <w:r w:rsidRPr="001E7212">
              <w:rPr>
                <w:rFonts w:ascii="Times New Roman" w:eastAsia="Times New Roman" w:hAnsi="Times New Roman" w:cs="Times New Roman"/>
                <w:i/>
                <w:iCs/>
                <w:color w:val="210F6E"/>
                <w:sz w:val="20"/>
                <w:szCs w:val="20"/>
              </w:rPr>
              <w:t>.</w:t>
            </w:r>
            <w:r w:rsidRPr="001E7212">
              <w:rPr>
                <w:rFonts w:ascii="Times New Roman" w:eastAsia="Times New Roman" w:hAnsi="Times New Roman" w:cs="Times New Roman"/>
                <w:sz w:val="24"/>
                <w:szCs w:val="24"/>
              </w:rPr>
              <w:t xml:space="preserve"> </w:t>
            </w:r>
          </w:p>
        </w:tc>
      </w:tr>
      <w:tr w:rsidR="001E7212" w:rsidRPr="001E7212" w:rsidTr="001E7212">
        <w:trPr>
          <w:tblCellSpacing w:w="15" w:type="dxa"/>
        </w:trPr>
        <w:tc>
          <w:tcPr>
            <w:tcW w:w="0" w:type="auto"/>
            <w:gridSpan w:val="4"/>
            <w:vAlign w:val="center"/>
            <w:hideMark/>
          </w:tcPr>
          <w:p w:rsidR="001E7212" w:rsidRPr="001E7212" w:rsidRDefault="001E7212" w:rsidP="001E7212">
            <w:pPr>
              <w:spacing w:after="0" w:line="240" w:lineRule="auto"/>
              <w:ind w:right="142"/>
              <w:jc w:val="lowKashida"/>
              <w:rPr>
                <w:rFonts w:ascii="Times New Roman" w:eastAsia="Times New Roman" w:hAnsi="Times New Roman" w:cs="Times New Roman"/>
                <w:sz w:val="24"/>
                <w:szCs w:val="24"/>
              </w:rPr>
            </w:pPr>
          </w:p>
        </w:tc>
      </w:tr>
      <w:tr w:rsidR="001E7212" w:rsidRPr="001E7212" w:rsidTr="001E7212">
        <w:trPr>
          <w:tblCellSpacing w:w="15"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583"/>
            </w:tblGrid>
            <w:tr w:rsidR="001E7212" w:rsidRPr="001E7212">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583"/>
                  </w:tblGrid>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آيين نامه مربوط به شرايط و طرز استفاده از خانه‌هاي سازماني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هيئت وزيران در جلسه مورخ</w:t>
                        </w:r>
                        <w:r w:rsidRPr="001E7212">
                          <w:rPr>
                            <w:rFonts w:ascii="Times New Roman" w:eastAsia="Times New Roman" w:hAnsi="Times New Roman" w:cs="Times New Roman"/>
                            <w:sz w:val="24"/>
                            <w:szCs w:val="24"/>
                          </w:rPr>
                          <w:t xml:space="preserve"> </w:t>
                        </w:r>
                        <w:r w:rsidRPr="001E7212">
                          <w:rPr>
                            <w:rFonts w:ascii="Times New Roman" w:eastAsia="Times New Roman" w:hAnsi="Times New Roman" w:cs="Times New Roman"/>
                            <w:sz w:val="24"/>
                            <w:szCs w:val="24"/>
                            <w:rtl/>
                          </w:rPr>
                          <w:t>۱۵/۴/۴۷</w:t>
                        </w:r>
                        <w:r w:rsidRPr="001E7212">
                          <w:rPr>
                            <w:rFonts w:ascii="Times New Roman" w:eastAsia="Times New Roman" w:hAnsi="Times New Roman" w:cs="Times New Roman"/>
                            <w:sz w:val="24"/>
                            <w:szCs w:val="24"/>
                          </w:rPr>
                          <w:t xml:space="preserve"> </w:t>
                        </w:r>
                        <w:r w:rsidRPr="001E7212">
                          <w:rPr>
                            <w:rFonts w:ascii="Times New Roman" w:eastAsia="Times New Roman" w:hAnsi="Times New Roman" w:cs="Times New Roman"/>
                            <w:sz w:val="24"/>
                            <w:szCs w:val="24"/>
                            <w:rtl/>
                          </w:rPr>
                          <w:t xml:space="preserve">بنا به پيشنهاد شماره ـ وزارت دارائي و وزارت آباداني و مسكن و در اجراي ماده ۲ قانون مربوط به نحوه استفاده از خانه‏هاي سازماني مصوب خرداد ماه ۱۳۴۶ آئين نامه مربوط به شرايط و طرز استفاده از خانه هاي سازمان را به شرح زير تصويب مينمايد.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آئين نامه مربوط به شرايط و طرز استفاده از خانه‌هاي سازماني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۱ ـ وزارتخانه‏ها و مؤسسات دولتي يا وابسته به دولت مكلفند پست‏هاي سازماني يا مشاغلي را كه متصديان آنها حق استفاده از خانه سازماني خواهند داشت با توجه به تعداد خانه‌ هائي كه در اختيار دارند تعيين نمايند در شهرهايي كه خانه‌هاي سازماني به منظور استفاده كاركنان دولت به طور عموم ساخته مي‌شود تقسيم خانه‌ها به وسيله كميسيوني مركب از رئيس آباداني و مسكن و يكي ديگر از رؤساي ادارات به تعيين استانداري يا فرماندار كل يا فرماندار مستقل و تحت نظر استاندارد يا فرماندار كل يا فرماندار مستقل انجام مي گيرد.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240"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ماده ۲ ـ مبلغي كه استفاده‌كننده از خانه‌هاي سازماني در ازاء حق استفاده بايد بپردازد اعم از اينكه خانه‌هاي مزبور توسط و‌زارت مسكن و شهرسازي سازمان مسكن و يا ساير و‌زارتخانه‌ها و مؤسسات دو‌لتي ساخته يا خريداري شده يا بشود در هر ماه معادل ۱۰% جمع دريافتي مستمر (حقوق و فوق‌العاده شغل) قبل از برداشت كسور قانوني خواهد بود. حق استفاده از خانه‌هاي سازماني نيرو‌هاي مسلح جمهوري اسلامي ايران كماكان تابع مقررات مربوط بخود ميباشد.</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تبصره ـ در صورتي كه در خانه سازماني اثاثيه و اموال منقول دولت از قبيل كولر ـ پنكه ـ بخاري برقي ـ آب سرد كن ـ يخچال ـ تختخواب ـ سرويس غذا خوري ـ ميز و صندلي و فرش و ساير لوازم موجود باشد و در اختيار استفاده كننده از خانه سازماني قرار گيرد مبلغي كه استفاده كننده از خانه سازماني بايد دريافت گردد و استفاده كننده منحصراً در خانه سازماني مي تواند اموال مذكور را مورد استفاده قرار دهد.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۳ ـ ادارات پرداخت كننده حقوق مكلفند مبلغي را كه استفاده كننده از خانه‌هاي سازماني بايد بپردازد از حقوق و ساير دريافتي هاي ماهانه او كسر و بسازماني كه خانه متعلق باو است تحويل نمايد.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۴ ـ پرداخت بهاي مصرف آب و برق به عهده استفاده كننده از خانه سازماني ميباشد و ارايه برگ مفاصا حساب آب و برق در موقع تحويل خانه‌الزامي خواهد بود و در صورت عدم پرداخت از اولين حقوق يا ساير دريافتي هاي استفاده كنده بوسيله اداره پرداخت كننده كسر خواهد شد.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۵ ـ استفاده كننده از خانه سازماني در حدود قوانين موضوعه مسئول جبران خساراتي است كه در اثر عدم مراقبت يا سهل انگاري او بخانه وارد ميشود و در صورتيكه رأساً اقدام به ترميم خسارت يا خرابي ننمايد هزينه آن از طرف سازماني كه خانه متعلق باو است تعيين و در حدود مقررات قانوني قابل وصول خواهد بود.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۶ ـ تعميرات جزئي از قبيل لكه گيري و تعميرات قفل و شير آب و در و پنجره و رفع معايب ناودان ها و آب روها و تأسيسات بهداشتي و انداختن شيشه و همچنين نظافت و برف روبي بعهده استفاده كننده ميباشد.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۷ ـ استفاده كننده از خانه سازماني حق هيچگونه تغييري در قسمت‏هاي داخلي و خارجي بنا ندارد.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۸ ـ در صورتيكه متصدي پست سازماني كه حق استفاده از خانه دارد بهر علتي از خانه سازماني استفاده نكند سازمان ميتواند حق استفاده از خانه را با رعايت اولويت بكارمند ديگري موقتاً واگذار كند.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۹ ـ استفاده كننده از خانه سازماني بايد در موقع تخليه خانه را بنماينده سازمان صاحب خانه تحويل و رسيد دريافت دارد.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۱۰ ـ در صورتيكه استفاده كننده بهر علتي از قبيل انتقال، بازنشستگي، انفصال، استعفا، اخراج، تغيير شغل و تعليق و غيره حق استفاده از خانه سازماني را از دست بدهد بايد حداكثر تا سي روز آنرا تخليه و برابر صورتمجلس تحويل نماينده سازمان صاحب خانه بنمايد.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۱۱ ـ در صورتيكه استفاده كننده فوت شود مهلت تخليه براي خانواده او يكصد روز از تاريخ فوت ميباشد و هرگاه فرزندان او در محل خدمت مشغول تحصيل باشند و فوت نيز در نيمه دوم سال تحصيلي واقع شود تا پايان سال تحصيلي (پايان خرداد ماه) بخانواده او مهلت داده خواهد شد و در هر حال مهلت صد روز براي خانواده او محفوظ خواهد بود.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۱۲ ـ در صورتيكه خانه سازماني در پايان مدت و مهلت مقرر تخليه و تحويل نشود بتقاضاي اداره مربوطه و بدستور دادستان يا جانشين يا نماينده او و در نقاطي كه مقامات مذكور نباشند بوسيله مأموران انتظامي خانه تخليه خواهد شد.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ماده ۱۳ ـ افسران- درجه داران و افراد نيروهاي مسلح شاهنشاهي و نيروهاي انتظامي مشمول آئين ‏نامه‌ها و مقررات خاص مربوط ميباشند. </w:t>
                        </w:r>
                      </w:p>
                    </w:tc>
                  </w:tr>
                  <w:tr w:rsidR="001E7212" w:rsidRPr="001E7212">
                    <w:trPr>
                      <w:tblCellSpacing w:w="7" w:type="dxa"/>
                    </w:trPr>
                    <w:tc>
                      <w:tcPr>
                        <w:tcW w:w="0" w:type="auto"/>
                        <w:vAlign w:val="center"/>
                        <w:hideMark/>
                      </w:tcPr>
                      <w:p w:rsidR="001E7212" w:rsidRPr="001E7212" w:rsidRDefault="001E7212" w:rsidP="001E7212">
                        <w:pPr>
                          <w:spacing w:before="100" w:beforeAutospacing="1" w:after="100" w:afterAutospacing="1" w:line="240" w:lineRule="auto"/>
                          <w:ind w:right="142"/>
                          <w:jc w:val="lowKashida"/>
                          <w:rPr>
                            <w:rFonts w:ascii="Times New Roman" w:eastAsia="Times New Roman" w:hAnsi="Times New Roman" w:cs="Times New Roman"/>
                            <w:sz w:val="24"/>
                            <w:szCs w:val="24"/>
                          </w:rPr>
                        </w:pPr>
                        <w:r w:rsidRPr="001E7212">
                          <w:rPr>
                            <w:rFonts w:ascii="Times New Roman" w:eastAsia="Times New Roman" w:hAnsi="Times New Roman" w:cs="Times New Roman"/>
                            <w:sz w:val="24"/>
                            <w:szCs w:val="24"/>
                            <w:rtl/>
                          </w:rPr>
                          <w:t xml:space="preserve">وزير مشاور ـ محمود كشفيان </w:t>
                        </w:r>
                      </w:p>
                    </w:tc>
                  </w:tr>
                </w:tbl>
                <w:p w:rsidR="001E7212" w:rsidRPr="001E7212" w:rsidRDefault="001E7212" w:rsidP="001E7212">
                  <w:pPr>
                    <w:spacing w:after="0" w:line="240" w:lineRule="auto"/>
                    <w:ind w:right="142"/>
                    <w:jc w:val="lowKashida"/>
                    <w:rPr>
                      <w:rFonts w:ascii="Times New Roman" w:eastAsia="Times New Roman" w:hAnsi="Times New Roman" w:cs="Times New Roman"/>
                      <w:sz w:val="24"/>
                      <w:szCs w:val="24"/>
                    </w:rPr>
                  </w:pPr>
                </w:p>
              </w:tc>
            </w:tr>
          </w:tbl>
          <w:p w:rsidR="001E7212" w:rsidRPr="001E7212" w:rsidRDefault="001E7212" w:rsidP="001E7212">
            <w:pPr>
              <w:ind w:right="142"/>
              <w:rPr>
                <w:rFonts w:ascii="Times New Roman" w:eastAsia="Times New Roman" w:hAnsi="Times New Roman" w:cs="Times New Roman"/>
                <w:sz w:val="24"/>
                <w:szCs w:val="24"/>
              </w:rPr>
            </w:pPr>
          </w:p>
        </w:tc>
        <w:tc>
          <w:tcPr>
            <w:tcW w:w="0" w:type="auto"/>
            <w:vAlign w:val="center"/>
            <w:hideMark/>
          </w:tcPr>
          <w:p w:rsidR="001E7212" w:rsidRPr="001E7212" w:rsidRDefault="001E7212" w:rsidP="001E7212">
            <w:pPr>
              <w:spacing w:after="0" w:line="240" w:lineRule="auto"/>
              <w:ind w:right="142"/>
              <w:jc w:val="lowKashida"/>
              <w:rPr>
                <w:rFonts w:ascii="Times New Roman" w:eastAsia="Times New Roman" w:hAnsi="Times New Roman" w:cs="Times New Roman"/>
                <w:sz w:val="20"/>
                <w:szCs w:val="20"/>
              </w:rPr>
            </w:pPr>
          </w:p>
        </w:tc>
        <w:tc>
          <w:tcPr>
            <w:tcW w:w="0" w:type="auto"/>
            <w:vAlign w:val="center"/>
            <w:hideMark/>
          </w:tcPr>
          <w:p w:rsidR="001E7212" w:rsidRPr="001E7212" w:rsidRDefault="001E7212" w:rsidP="001E7212">
            <w:pPr>
              <w:spacing w:after="0" w:line="240" w:lineRule="auto"/>
              <w:ind w:right="142"/>
              <w:jc w:val="lowKashida"/>
              <w:rPr>
                <w:rFonts w:ascii="Times New Roman" w:eastAsia="Times New Roman" w:hAnsi="Times New Roman" w:cs="Times New Roman"/>
                <w:sz w:val="20"/>
                <w:szCs w:val="20"/>
              </w:rPr>
            </w:pPr>
          </w:p>
        </w:tc>
        <w:tc>
          <w:tcPr>
            <w:tcW w:w="0" w:type="auto"/>
            <w:vAlign w:val="center"/>
            <w:hideMark/>
          </w:tcPr>
          <w:p w:rsidR="001E7212" w:rsidRPr="001E7212" w:rsidRDefault="001E7212" w:rsidP="001E7212">
            <w:pPr>
              <w:spacing w:after="0" w:line="240" w:lineRule="auto"/>
              <w:ind w:right="142"/>
              <w:jc w:val="lowKashida"/>
              <w:rPr>
                <w:rFonts w:ascii="Times New Roman" w:eastAsia="Times New Roman" w:hAnsi="Times New Roman" w:cs="Times New Roman"/>
                <w:sz w:val="20"/>
                <w:szCs w:val="20"/>
              </w:rPr>
            </w:pPr>
          </w:p>
        </w:tc>
      </w:tr>
    </w:tbl>
    <w:p w:rsidR="00670499" w:rsidRDefault="00670499" w:rsidP="001E7212">
      <w:pPr>
        <w:ind w:right="142"/>
        <w:jc w:val="lowKashida"/>
        <w:rPr>
          <w:rFonts w:hint="cs"/>
        </w:rPr>
      </w:pPr>
    </w:p>
    <w:sectPr w:rsidR="00670499" w:rsidSect="001E7212">
      <w:pgSz w:w="11906" w:h="16838"/>
      <w:pgMar w:top="1135" w:right="991"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12"/>
    <w:rsid w:val="000735BE"/>
    <w:rsid w:val="001E7212"/>
    <w:rsid w:val="00670499"/>
    <w:rsid w:val="006C4D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6">
    <w:name w:val="status6"/>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6">
    <w:name w:val="status6"/>
    <w:basedOn w:val="Normal"/>
    <w:rsid w:val="001E72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3024">
      <w:bodyDiv w:val="1"/>
      <w:marLeft w:val="0"/>
      <w:marRight w:val="0"/>
      <w:marTop w:val="0"/>
      <w:marBottom w:val="0"/>
      <w:divBdr>
        <w:top w:val="none" w:sz="0" w:space="0" w:color="auto"/>
        <w:left w:val="none" w:sz="0" w:space="0" w:color="auto"/>
        <w:bottom w:val="none" w:sz="0" w:space="0" w:color="auto"/>
        <w:right w:val="none" w:sz="0" w:space="0" w:color="auto"/>
      </w:divBdr>
      <w:divsChild>
        <w:div w:id="1160850981">
          <w:marLeft w:val="0"/>
          <w:marRight w:val="0"/>
          <w:marTop w:val="0"/>
          <w:marBottom w:val="0"/>
          <w:divBdr>
            <w:top w:val="none" w:sz="0" w:space="0" w:color="auto"/>
            <w:left w:val="none" w:sz="0" w:space="0" w:color="auto"/>
            <w:bottom w:val="none" w:sz="0" w:space="0" w:color="auto"/>
            <w:right w:val="none" w:sz="0" w:space="0" w:color="auto"/>
          </w:divBdr>
          <w:divsChild>
            <w:div w:id="913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dcterms:created xsi:type="dcterms:W3CDTF">2018-04-09T09:52:00Z</dcterms:created>
  <dcterms:modified xsi:type="dcterms:W3CDTF">2018-04-09T09:55:00Z</dcterms:modified>
</cp:coreProperties>
</file>